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false"/>
        <w:keepLines w:val="false"/>
        <w:pageBreakBefore w:val="false"/>
        <w:widowControl/>
        <w:overflowPunct w:val="false"/>
        <w:bidi w:val="0"/>
        <w:snapToGrid w:val="true"/>
        <w:spacing w:lineRule="auto" w:line="240"/>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mc:AlternateContent>
          <mc:Choice Requires="wpg">
            <w:drawing>
              <wp:anchor behindDoc="0" distT="0" distB="2540" distL="0" distR="0" simplePos="0" locked="0" layoutInCell="1" allowOverlap="1" relativeHeight="2">
                <wp:simplePos x="0" y="0"/>
                <wp:positionH relativeFrom="column">
                  <wp:posOffset>-908685</wp:posOffset>
                </wp:positionH>
                <wp:positionV relativeFrom="paragraph">
                  <wp:posOffset>1270</wp:posOffset>
                </wp:positionV>
                <wp:extent cx="6751955" cy="893445"/>
                <wp:effectExtent l="0" t="0" r="0" b="2540"/>
                <wp:wrapNone/>
                <wp:docPr id="1" name="Grupare 5"/>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descr=""/>
                          <pic:cNvPicPr/>
                        </pic:nvPicPr>
                        <pic:blipFill>
                          <a:blip r:embed="rId2"/>
                          <a:srcRect l="10108" t="38091" r="11830" b="38909"/>
                          <a:stretch/>
                        </pic:blipFill>
                        <pic:spPr>
                          <a:xfrm>
                            <a:off x="4616280" y="84960"/>
                            <a:ext cx="2135520" cy="627480"/>
                          </a:xfrm>
                          <a:prstGeom prst="rect">
                            <a:avLst/>
                          </a:prstGeom>
                          <a:ln w="0">
                            <a:noFill/>
                          </a:ln>
                        </pic:spPr>
                      </pic:pic>
                      <pic:pic xmlns:pic="http://schemas.openxmlformats.org/drawingml/2006/picture">
                        <pic:nvPicPr>
                          <pic:cNvPr id="3" name="Picture 2" descr=""/>
                          <pic:cNvPicPr/>
                        </pic:nvPicPr>
                        <pic:blipFill>
                          <a:blip r:embed="rId3"/>
                          <a:stretch/>
                        </pic:blipFill>
                        <pic:spPr>
                          <a:xfrm>
                            <a:off x="0" y="0"/>
                            <a:ext cx="891720" cy="893520"/>
                          </a:xfrm>
                          <a:prstGeom prst="rect">
                            <a:avLst/>
                          </a:prstGeom>
                          <a:ln w="0">
                            <a:noFill/>
                          </a:ln>
                        </pic:spPr>
                      </pic:pic>
                    </wpg:wgp>
                  </a:graphicData>
                </a:graphic>
              </wp:anchor>
            </w:drawing>
          </mc:Choice>
          <mc:Fallback>
            <w:pict>
              <v:group id="shape_0" alt="Grupare 5" style="position:absolute;margin-left:-71.55pt;margin-top:0.1pt;width:531.65pt;height:70.35pt" coordorigin="-1431,2" coordsize="10633,1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2" stroked="f" o:allowincell="f" style="position:absolute;left:5839;top:136;width:3362;height:987;mso-wrap-style:none;v-text-anchor:middle" type="_x0000_t75">
                  <v:imagedata r:id="rId4" o:detectmouseclick="t"/>
                  <v:stroke color="#3465a4" joinstyle="round" endcap="flat"/>
                  <w10:wrap type="none"/>
                </v:shape>
                <v:shape id="shape_0" ID="Picture 2" stroked="f" o:allowincell="f" style="position:absolute;left:-1431;top:2;width:1403;height:1406;mso-wrap-style:none;v-text-anchor:middle" type="_x0000_t75">
                  <v:imagedata r:id="rId5" o:detectmouseclick="t"/>
                  <v:stroke color="#3465a4" joinstyle="round" endcap="flat"/>
                  <w10:wrap type="none"/>
                </v:shape>
              </v:group>
            </w:pict>
          </mc:Fallback>
        </mc:AlternateContent>
      </w:r>
    </w:p>
    <w:p>
      <w:pPr>
        <w:pStyle w:val="Normal"/>
        <w:keepNext w:val="false"/>
        <w:keepLines w:val="false"/>
        <w:pageBreakBefore w:val="false"/>
        <w:widowControl/>
        <w:overflowPunct w:val="false"/>
        <w:bidi w:val="0"/>
        <w:snapToGrid w:val="true"/>
        <w:spacing w:lineRule="auto" w:line="240"/>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w:t xml:space="preserve">MINISTERUL FINANȚELOR </w:t>
      </w:r>
    </w:p>
    <w:p>
      <w:pPr>
        <w:pStyle w:val="Normal"/>
        <w:keepNext w:val="false"/>
        <w:keepLines w:val="false"/>
        <w:pageBreakBefore w:val="false"/>
        <w:widowControl/>
        <w:overflowPunct w:val="false"/>
        <w:bidi w:val="0"/>
        <w:snapToGrid w:val="true"/>
        <w:spacing w:lineRule="auto" w:line="240" w:beforeAutospacing="0" w:before="0" w:after="103"/>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w:t>Agen</w:t>
      </w:r>
      <w:r>
        <w:rPr>
          <w:rFonts w:cs="Trebuchet MS" w:ascii="Trebuchet MS" w:hAnsi="Trebuchet MS"/>
          <w:b w:val="false"/>
          <w:bCs w:val="false"/>
          <w:sz w:val="24"/>
          <w:szCs w:val="24"/>
          <w:lang w:val="ro-RO"/>
        </w:rPr>
        <w:t>ția Națională de Administrare Fiscală</w:t>
      </w:r>
    </w:p>
    <w:p>
      <w:pPr>
        <w:pStyle w:val="Normal"/>
        <w:keepNext w:val="false"/>
        <w:keepLines w:val="false"/>
        <w:pageBreakBefore w:val="false"/>
        <w:widowControl/>
        <w:overflowPunct w:val="false"/>
        <w:bidi w:val="0"/>
        <w:snapToGrid w:val="true"/>
        <w:spacing w:lineRule="auto" w:line="240" w:beforeAutospacing="0" w:before="0" w:after="103"/>
        <w:jc w:val="left"/>
        <w:textAlignment w:val="auto"/>
        <w:rPr>
          <w:rFonts w:ascii="Trebuchet MS" w:hAnsi="Trebuchet MS" w:cs="Trebuchet MS"/>
          <w:b w:val="false"/>
          <w:bCs w:val="false"/>
          <w:color w:val="333333"/>
          <w:sz w:val="24"/>
          <w:szCs w:val="24"/>
          <w:lang w:val="ro-RO"/>
        </w:rPr>
      </w:pPr>
      <w:r>
        <w:rPr>
          <w:rFonts w:cs="Trebuchet MS" w:ascii="Trebuchet MS" w:hAnsi="Trebuchet MS"/>
          <w:b w:val="false"/>
          <w:bCs w:val="false"/>
          <w:color w:val="333333"/>
          <w:sz w:val="24"/>
          <w:szCs w:val="24"/>
          <w:lang w:val="ro-RO"/>
        </w:rPr>
        <w:t>Direcţia generală antifraudă fiscală</w:t>
      </w:r>
    </w:p>
    <w:p>
      <w:pPr>
        <w:pStyle w:val="Normal"/>
        <w:keepNext w:val="false"/>
        <w:keepLines w:val="false"/>
        <w:pageBreakBefore w:val="false"/>
        <w:widowControl/>
        <w:overflowPunct w:val="false"/>
        <w:bidi w:val="0"/>
        <w:snapToGrid w:val="true"/>
        <w:spacing w:lineRule="auto" w:line="240" w:beforeAutospacing="0" w:before="0" w:after="103"/>
        <w:jc w:val="left"/>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widowControl/>
        <w:overflowPunct w:val="false"/>
        <w:bidi w:val="0"/>
        <w:snapToGrid w:val="true"/>
        <w:spacing w:lineRule="auto" w:line="240" w:beforeAutospacing="0" w:before="0" w:after="103"/>
        <w:jc w:val="left"/>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keepNext w:val="false"/>
        <w:keepLines w:val="false"/>
        <w:pageBreakBefore w:val="false"/>
        <w:widowControl/>
        <w:overflowPunct w:val="false"/>
        <w:bidi w:val="0"/>
        <w:snapToGrid w:val="true"/>
        <w:spacing w:lineRule="auto" w:line="240" w:beforeAutospacing="0" w:before="0" w:after="103"/>
        <w:jc w:val="center"/>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REFERAT</w:t>
      </w:r>
    </w:p>
    <w:p>
      <w:pPr>
        <w:pStyle w:val="Normal"/>
        <w:keepNext w:val="false"/>
        <w:keepLines w:val="false"/>
        <w:pageBreakBefore w:val="false"/>
        <w:widowControl/>
        <w:overflowPunct w:val="false"/>
        <w:bidi w:val="0"/>
        <w:snapToGrid w:val="true"/>
        <w:spacing w:lineRule="auto" w:line="240" w:beforeAutospacing="0" w:before="0" w:after="103"/>
        <w:jc w:val="center"/>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 xml:space="preserve">Privind proiectul de </w:t>
      </w:r>
      <w:r>
        <w:rPr>
          <w:rFonts w:cs="Trebuchet MS" w:ascii="Trebuchet MS" w:hAnsi="Trebuchet MS"/>
          <w:sz w:val="24"/>
          <w:szCs w:val="24"/>
          <w:lang w:val="ro-RO" w:eastAsia="zh-CN"/>
        </w:rPr>
        <w:t>Ordin comun al Președintelui Agenției Naționale de Administrare Fiscală și Președintelui Autorității Vamale Române</w:t>
      </w:r>
      <w:r>
        <w:rPr>
          <w:rFonts w:cs="Trebuchet MS" w:ascii="Trebuchet MS" w:hAnsi="Trebuchet MS"/>
          <w:b w:val="false"/>
          <w:bCs w:val="false"/>
          <w:color w:val="auto"/>
          <w:sz w:val="24"/>
          <w:szCs w:val="24"/>
          <w:lang w:val="ro-RO" w:eastAsia="zh-CN"/>
        </w:rPr>
        <w:t xml:space="preserve"> </w:t>
      </w:r>
      <w:r>
        <w:rPr>
          <w:rFonts w:cs="Times New Roman" w:ascii="Trebuchet MS" w:hAnsi="Trebuchet MS"/>
          <w:b w:val="false"/>
          <w:bCs w:val="false"/>
          <w:color w:val="auto"/>
          <w:sz w:val="24"/>
          <w:szCs w:val="24"/>
          <w:lang w:val="ro-RO" w:eastAsia="zh-CN"/>
        </w:rPr>
        <w:t xml:space="preserve">privind stabilirea activității de monitorizare și control a activității desfășurate de operatorii economici prevăzuți la art. 435 </w:t>
      </w:r>
      <w:r>
        <w:rPr>
          <w:rFonts w:eastAsia="SimSun" w:cs="Times New Roman" w:ascii="Trebuchet MS" w:hAnsi="Trebuchet MS"/>
          <w:b w:val="false"/>
          <w:bCs w:val="false"/>
          <w:color w:val="auto"/>
          <w:sz w:val="24"/>
          <w:szCs w:val="24"/>
          <w:lang w:val="ro-RO" w:eastAsia="zh-CN"/>
        </w:rPr>
        <w:t>alin. (3^1) din Legea nr. 227/2015 privind Codul fiscal, cu modificările și completările ulterioare</w:t>
      </w:r>
      <w:r>
        <w:rPr>
          <w:rFonts w:cs="Times New Roman" w:ascii="Trebuchet MS" w:hAnsi="Trebuchet MS"/>
          <w:b w:val="false"/>
          <w:bCs w:val="false"/>
          <w:color w:val="auto"/>
          <w:sz w:val="24"/>
          <w:szCs w:val="24"/>
          <w:lang w:val="ro-RO" w:eastAsia="zh-CN"/>
        </w:rPr>
        <w:t xml:space="preserve"> </w:t>
      </w:r>
    </w:p>
    <w:p>
      <w:pPr>
        <w:pStyle w:val="Normal"/>
        <w:keepNext w:val="false"/>
        <w:keepLines w:val="false"/>
        <w:pageBreakBefore w:val="false"/>
        <w:widowControl/>
        <w:overflowPunct w:val="false"/>
        <w:bidi w:val="0"/>
        <w:snapToGrid w:val="true"/>
        <w:spacing w:lineRule="auto" w:line="240" w:beforeAutospacing="0" w:before="0" w:after="103"/>
        <w:jc w:val="center"/>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widowControl/>
        <w:overflowPunct w:val="false"/>
        <w:bidi w:val="0"/>
        <w:snapToGrid w:val="true"/>
        <w:spacing w:lineRule="auto" w:line="240" w:beforeAutospacing="0" w:before="0" w:after="103"/>
        <w:ind w:firstLine="720"/>
        <w:jc w:val="both"/>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 xml:space="preserve">Prin O.U.G. nr.138/2024 </w:t>
      </w:r>
      <w:r>
        <w:rPr>
          <w:rFonts w:cs="Trebuchet MS" w:ascii="Trebuchet MS" w:hAnsi="Trebuchet MS"/>
          <w:b w:val="false"/>
          <w:bCs w:val="false"/>
          <w:i w:val="false"/>
          <w:caps w:val="false"/>
          <w:smallCaps w:val="false"/>
          <w:color w:val="000000"/>
          <w:spacing w:val="0"/>
          <w:sz w:val="24"/>
          <w:szCs w:val="24"/>
          <w:lang w:val="ro-RO" w:eastAsia="zh-CN"/>
        </w:rPr>
        <w:t>privind modificarea şi completarea unor acte normative în domeniul fiscal-bugetar, precum şi pentru reglementarea altor măsuri</w:t>
      </w:r>
      <w:r>
        <w:rPr>
          <w:rFonts w:cs="Trebuchet MS" w:ascii="Trebuchet MS" w:hAnsi="Trebuchet MS"/>
          <w:b w:val="false"/>
          <w:bCs w:val="false"/>
          <w:i w:val="false"/>
          <w:caps w:val="false"/>
          <w:smallCaps w:val="false"/>
          <w:color w:val="auto"/>
          <w:spacing w:val="0"/>
          <w:sz w:val="24"/>
          <w:szCs w:val="24"/>
          <w:lang w:val="ro-RO" w:eastAsia="zh-CN"/>
        </w:rPr>
        <w:t>, au fost modificate prevederile Legii nr.227/2015 privind Codul fiscal, astfel:</w:t>
      </w:r>
    </w:p>
    <w:p>
      <w:pPr>
        <w:pStyle w:val="Normal"/>
        <w:widowControl/>
        <w:overflowPunct w:val="false"/>
        <w:bidi w:val="0"/>
        <w:snapToGrid w:val="true"/>
        <w:spacing w:lineRule="auto" w:line="240" w:beforeAutospacing="0" w:before="0" w:after="103"/>
        <w:ind w:firstLine="720"/>
        <w:jc w:val="both"/>
        <w:textAlignment w:val="auto"/>
        <w:rPr>
          <w:rFonts w:ascii="Trebuchet MS" w:hAnsi="Trebuchet MS"/>
          <w:sz w:val="24"/>
          <w:szCs w:val="24"/>
        </w:rPr>
      </w:pPr>
      <w:r>
        <w:rPr>
          <w:rFonts w:cs="Trebuchet MS" w:ascii="Trebuchet MS" w:hAnsi="Trebuchet MS"/>
          <w:b w:val="false"/>
          <w:bCs w:val="false"/>
          <w:i w:val="false"/>
          <w:caps w:val="false"/>
          <w:smallCaps w:val="false"/>
          <w:color w:val="auto"/>
          <w:spacing w:val="0"/>
          <w:sz w:val="24"/>
          <w:szCs w:val="24"/>
          <w:lang w:val="ro-RO" w:eastAsia="zh-CN"/>
        </w:rPr>
        <w:t>art. 435, a fost modificat în sensul că, după alin.(3), au fost introduse încă treisprezece noi alineate:</w:t>
      </w:r>
    </w:p>
    <w:p>
      <w:pPr>
        <w:pStyle w:val="Normal"/>
        <w:widowControl/>
        <w:overflowPunct w:val="false"/>
        <w:bidi w:val="0"/>
        <w:snapToGrid w:val="true"/>
        <w:spacing w:lineRule="auto" w:line="240" w:beforeAutospacing="0" w:before="0" w:after="103"/>
        <w:ind w:hanging="0"/>
        <w:jc w:val="both"/>
        <w:textAlignment w:val="auto"/>
        <w:rPr>
          <w:rFonts w:ascii="Trebuchet MS" w:hAnsi="Trebuchet MS"/>
          <w:sz w:val="24"/>
          <w:szCs w:val="24"/>
        </w:rPr>
      </w:pPr>
      <w:r>
        <w:rPr>
          <w:rFonts w:cs="Trebuchet MS" w:ascii="Trebuchet MS" w:hAnsi="Trebuchet MS"/>
          <w:b w:val="false"/>
          <w:bCs w:val="false"/>
          <w:i w:val="false"/>
          <w:caps w:val="false"/>
          <w:smallCaps w:val="false"/>
          <w:color w:val="auto"/>
          <w:spacing w:val="0"/>
          <w:sz w:val="24"/>
          <w:szCs w:val="24"/>
          <w:lang w:val="ro-RO" w:eastAsia="zh-CN"/>
        </w:rPr>
        <w:t>- la alin.(3^1) se menționează că o</w:t>
      </w:r>
      <w:r>
        <w:rPr>
          <w:rFonts w:cs="Trebuchet MS" w:ascii="Trebuchet MS" w:hAnsi="Trebuchet MS"/>
          <w:b w:val="false"/>
          <w:bCs w:val="false"/>
          <w:i w:val="false"/>
          <w:caps w:val="false"/>
          <w:smallCaps w:val="false"/>
          <w:color w:val="000000"/>
          <w:spacing w:val="0"/>
          <w:sz w:val="24"/>
          <w:szCs w:val="24"/>
          <w:lang w:val="ro-RO" w:eastAsia="zh-CN"/>
        </w:rPr>
        <w:t>peratorii economici care sunt înregistrați la autoritatea competentă pentru distribuție și comercializare angro fără depozitare băuturi alcoolice, tutun prelucrat și produse energetice - benzine, motorine, petrol lampant, gaz petrolier lichefiat și biocombustibili, care prezintă risc fiscal ridicat și care dețin și doresc să comercializeze produsele accizabile care se află în cadrul unui antrepozit fiscal aparținând unei terțe persoane, au obligația depunerii la autoritatea competentă a unei declarații pe propria răspundere privind cantitatea de produse accizabile pe care intenționează să o elibereze pentru consum. Modelul și conținutul declarației și modalitatea de declarare se stabilesc prin ordin al președintelui Agenției Naționale de Administrare Fiscală,</w:t>
      </w:r>
    </w:p>
    <w:p>
      <w:pPr>
        <w:pStyle w:val="Normal"/>
        <w:widowControl/>
        <w:overflowPunct w:val="false"/>
        <w:bidi w:val="0"/>
        <w:snapToGrid w:val="true"/>
        <w:spacing w:lineRule="auto" w:line="240" w:beforeAutospacing="0" w:before="0" w:after="103"/>
        <w:ind w:hanging="0"/>
        <w:jc w:val="both"/>
        <w:textAlignment w:val="auto"/>
        <w:rPr>
          <w:rFonts w:ascii="Trebuchet MS" w:hAnsi="Trebuchet MS"/>
          <w:sz w:val="24"/>
          <w:szCs w:val="24"/>
        </w:rPr>
      </w:pPr>
      <w:r>
        <w:rPr>
          <w:rFonts w:cs="Trebuchet MS" w:ascii="Trebuchet MS" w:hAnsi="Trebuchet MS"/>
          <w:b w:val="false"/>
          <w:bCs w:val="false"/>
          <w:i w:val="false"/>
          <w:caps w:val="false"/>
          <w:smallCaps w:val="false"/>
          <w:color w:val="000000"/>
          <w:spacing w:val="0"/>
          <w:sz w:val="24"/>
          <w:szCs w:val="24"/>
          <w:lang w:val="ro-RO" w:eastAsia="zh-CN"/>
        </w:rPr>
        <w:t xml:space="preserve">- alin. (3^9) precizează: </w:t>
      </w:r>
      <w:r>
        <w:rPr>
          <w:rFonts w:cs="Trebuchet MS" w:ascii="Trebuchet MS" w:hAnsi="Trebuchet MS"/>
          <w:b w:val="false"/>
          <w:bCs w:val="false"/>
          <w:i/>
          <w:iCs/>
          <w:caps w:val="false"/>
          <w:smallCaps w:val="false"/>
          <w:color w:val="000000"/>
          <w:spacing w:val="0"/>
          <w:sz w:val="24"/>
          <w:szCs w:val="24"/>
          <w:lang w:val="ro-RO" w:eastAsia="zh-CN"/>
        </w:rPr>
        <w:t>”Activitatea de monitorizare și control al activității desfășurate de operatorii economici prevăzuți la alin. (3^1) se stabilește prin ordin comun al președintelui Agenției Naționale de Administrare Fiscală și al președintelui Autorității Vamale Române ”</w:t>
      </w:r>
      <w:r>
        <w:rPr>
          <w:rFonts w:cs="Trebuchet MS" w:ascii="Trebuchet MS" w:hAnsi="Trebuchet MS"/>
          <w:b w:val="false"/>
          <w:bCs w:val="false"/>
          <w:i w:val="false"/>
          <w:iCs/>
          <w:caps w:val="false"/>
          <w:smallCaps w:val="false"/>
          <w:color w:val="000000"/>
          <w:spacing w:val="0"/>
          <w:sz w:val="24"/>
          <w:szCs w:val="24"/>
          <w:lang w:val="ro-RO" w:eastAsia="zh-CN"/>
        </w:rPr>
        <w:t>.</w:t>
      </w:r>
      <w:r>
        <w:rPr>
          <w:rFonts w:cs="Trebuchet MS" w:ascii="Trebuchet MS" w:hAnsi="Trebuchet MS"/>
          <w:b w:val="false"/>
          <w:bCs w:val="false"/>
          <w:i w:val="false"/>
          <w:caps w:val="false"/>
          <w:smallCaps w:val="false"/>
          <w:color w:val="auto"/>
          <w:spacing w:val="0"/>
          <w:sz w:val="24"/>
          <w:szCs w:val="24"/>
          <w:lang w:val="ro-RO" w:eastAsia="zh-CN"/>
        </w:rPr>
        <w:t xml:space="preserve"> </w:t>
      </w:r>
    </w:p>
    <w:p>
      <w:pPr>
        <w:pStyle w:val="Normal"/>
        <w:widowControl/>
        <w:overflowPunct w:val="false"/>
        <w:bidi w:val="0"/>
        <w:snapToGrid w:val="true"/>
        <w:spacing w:lineRule="auto" w:line="240" w:beforeAutospacing="0" w:before="0" w:after="103"/>
        <w:ind w:firstLine="720"/>
        <w:jc w:val="both"/>
        <w:textAlignment w:val="auto"/>
        <w:rPr/>
      </w:pPr>
      <w:r>
        <w:rPr>
          <w:rFonts w:cs="Trebuchet MS" w:ascii="Trebuchet MS" w:hAnsi="Trebuchet MS"/>
          <w:b w:val="false"/>
          <w:bCs w:val="false"/>
          <w:i w:val="false"/>
          <w:caps w:val="false"/>
          <w:smallCaps w:val="false"/>
          <w:color w:val="auto"/>
          <w:spacing w:val="0"/>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eastAsia="SimSun" w:cs="Times New Roman" w:ascii="Trebuchet MS" w:hAnsi="Trebuchet MS"/>
          <w:b w:val="false"/>
          <w:bCs w:val="false"/>
          <w:i w:val="false"/>
          <w:caps w:val="false"/>
          <w:smallCaps w:val="false"/>
          <w:color w:val="auto"/>
          <w:spacing w:val="0"/>
          <w:sz w:val="24"/>
          <w:szCs w:val="24"/>
          <w:lang w:val="ro-RO" w:eastAsia="zh-CN"/>
        </w:rPr>
        <w:t>privind stabilirea activității de monitorizare și control a activității desfășurate de operatorii economici prevăzuți la art. 435 alin. (3^1) din Legea nr. 227/2015 privind Codul fiscal, cu modificările și completările ulterioare</w:t>
      </w:r>
      <w:r>
        <w:rPr>
          <w:rFonts w:cs="Times New Roman" w:ascii="Trebuchet MS" w:hAnsi="Trebuchet MS"/>
          <w:b w:val="false"/>
          <w:bCs/>
          <w:i w:val="false"/>
          <w:caps w:val="false"/>
          <w:smallCaps w:val="false"/>
          <w:color w:val="auto"/>
          <w:spacing w:val="0"/>
          <w:sz w:val="24"/>
          <w:szCs w:val="24"/>
          <w:lang w:val="ro-RO" w:eastAsia="zh-CN"/>
        </w:rPr>
        <w:t>.</w:t>
      </w:r>
    </w:p>
    <w:p>
      <w:pPr>
        <w:pStyle w:val="Normal"/>
        <w:widowControl/>
        <w:overflowPunct w:val="false"/>
        <w:bidi w:val="0"/>
        <w:snapToGrid w:val="true"/>
        <w:spacing w:lineRule="auto" w:line="240" w:beforeAutospacing="0" w:before="0" w:after="103"/>
        <w:ind w:firstLine="720"/>
        <w:jc w:val="both"/>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Web"/>
        <w:keepNext w:val="false"/>
        <w:keepLines w:val="false"/>
        <w:pageBreakBefore w:val="false"/>
        <w:widowControl/>
        <w:overflowPunct w:val="false"/>
        <w:bidi w:val="0"/>
        <w:snapToGrid w:val="true"/>
        <w:spacing w:lineRule="auto" w:line="240" w:beforeAutospacing="0" w:before="0" w:afterAutospacing="0" w:after="0"/>
        <w:jc w:val="right"/>
        <w:textAlignment w:val="auto"/>
        <w:rPr>
          <w:lang w:val="ro-RO"/>
        </w:rPr>
      </w:pPr>
      <w:r>
        <w:rPr>
          <w:lang w:val="ro-RO"/>
        </w:rPr>
      </w:r>
      <w:bookmarkStart w:id="0" w:name="_GoBack"/>
      <w:bookmarkStart w:id="1" w:name="_GoBack"/>
      <w:bookmarkEnd w:id="1"/>
    </w:p>
    <w:sectPr>
      <w:footerReference w:type="default" r:id="rId6"/>
      <w:type w:val="nextPage"/>
      <w:pgSz w:w="11906" w:h="16838"/>
      <w:pgMar w:left="1635" w:right="1000" w:gutter="0" w:header="0" w:top="851" w:footer="74" w:bottom="204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pacing w:lineRule="auto" w:line="240" w:before="0" w:after="0"/>
      <w:jc w:val="left"/>
      <w:rPr/>
    </w:pPr>
    <w:r>
      <w:rPr/>
    </w:r>
  </w:p>
  <w:p>
    <w:pPr>
      <w:pStyle w:val="Footer"/>
      <w:bidi w:val="0"/>
      <w:spacing w:lineRule="auto" w:line="240" w:before="0" w:after="0"/>
      <w:jc w:val="left"/>
      <w:rPr/>
    </w:pPr>
    <w:r>
      <w:rPr/>
    </w:r>
  </w:p>
  <w:p>
    <w:pPr>
      <w:pStyle w:val="Footer"/>
      <w:bidi w:val="0"/>
      <w:spacing w:lineRule="auto" w:line="240" w:before="0" w:after="0"/>
      <w:jc w:val="left"/>
      <w:rPr/>
    </w:pPr>
    <w:r>
      <w:rPr/>
    </w:r>
  </w:p>
  <w:p>
    <w:pPr>
      <w:pStyle w:val="Footer"/>
      <w:bidi w:val="0"/>
      <w:spacing w:lineRule="auto" w:line="240" w:before="0" w:after="0"/>
      <w:jc w:val="left"/>
      <w:rPr/>
    </w:pPr>
    <w:r>
      <w:rPr/>
    </w:r>
  </w:p>
  <w:p>
    <w:pPr>
      <w:pStyle w:val="Footer"/>
      <w:bidi w:val="0"/>
      <w:spacing w:lineRule="auto" w:line="240" w:before="0" w:after="0"/>
      <w:jc w:val="left"/>
      <w:rPr/>
    </w:pPr>
    <w:r>
      <w:rPr/>
    </w:r>
  </w:p>
  <w:p>
    <w:pPr>
      <w:pStyle w:val="Footer"/>
      <w:bidi w:val="0"/>
      <w:jc w:val="left"/>
      <w:rPr>
        <w:rFonts w:ascii="Trebuchet MS" w:hAnsi="Trebuchet MS"/>
      </w:rPr>
    </w:pPr>
    <w:r>
      <w:rPr>
        <w:rFonts w:eastAsia="Franklin Gothic Demi" w:cs="Arial" w:ascii="Trebuchet MS" w:hAnsi="Trebuchet MS"/>
        <w:b/>
        <w:bCs/>
        <w:color w:val="000000"/>
        <w:sz w:val="18"/>
        <w:szCs w:val="18"/>
        <w:lang w:val="ro-RO"/>
      </w:rPr>
      <w:t>Documentul conține date cu caracter personal protejate de prevederile Regulamentului (UE) 2016/679</w:t>
    </w:r>
  </w:p>
  <w:p>
    <w:pPr>
      <w:pStyle w:val="Footer"/>
      <w:bidi w:val="0"/>
      <w:jc w:val="right"/>
      <w:rPr/>
    </w:pPr>
    <w:r>
      <w:rPr/>
      <w:t xml:space="preserve">Page </w:t>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1</w:t>
    </w:r>
    <w:r>
      <w:rPr>
        <w:sz w:val="24"/>
        <w:szCs w:val="24"/>
        <w:bCs/>
      </w:rPr>
      <w:fldChar w:fldCharType="end"/>
    </w:r>
    <w:r>
      <w:rPr>
        <w:bCs/>
        <w:sz w:val="24"/>
        <w:szCs w:val="24"/>
      </w:rPr>
      <w:t>/</w:t>
    </w:r>
    <w:r>
      <w:rPr>
        <w:bCs/>
        <w:sz w:val="24"/>
        <w:szCs w:val="24"/>
        <w:lang w:val="ro-RO"/>
      </w:rPr>
      <w:t>1</w:t>
    </w:r>
  </w:p>
</w:ftr>
</file>

<file path=word/settings.xml><?xml version="1.0" encoding="utf-8"?>
<w:settings xmlns:w="http://schemas.openxmlformats.org/wordprocessingml/2006/main">
  <w:zoom w:percent="150"/>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22" w:semiHidden="0" w:unhideWhenUsed="0" w:qFormat="1"/>
    <w:lsdException w:name="Emphasis" w:uiPriority="0" w:semiHidden="0" w:unhideWhenUsed="0" w:qFormat="1"/>
    <w:lsdException w:name="Document Map" w:uiPriority="99"/>
    <w:lsdException w:name="Plain Text" w:uiPriority="99"/>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uiPriority w:val="0"/>
    <w:qFormat/>
    <w:pPr>
      <w:keepNext w:val="true"/>
      <w:spacing w:before="240" w:after="60"/>
      <w:outlineLvl w:val="0"/>
    </w:pPr>
    <w:rPr>
      <w:rFonts w:ascii="Arial" w:hAnsi="Arial" w:cs="Arial"/>
      <w:b/>
      <w:bCs/>
      <w:sz w:val="32"/>
      <w:szCs w:val="32"/>
    </w:rPr>
  </w:style>
  <w:style w:type="character" w:styleId="DefaultParagraphFont" w:default="1">
    <w:name w:val="Default Paragraph Font"/>
    <w:uiPriority w:val="1"/>
    <w:semiHidden/>
    <w:unhideWhenUsed/>
    <w:qFormat/>
    <w:rPr/>
  </w:style>
  <w:style w:type="character" w:styleId="Emphasis">
    <w:name w:val="Emphasis"/>
    <w:uiPriority w:val="0"/>
    <w:qFormat/>
    <w:rPr>
      <w:i/>
      <w:iCs/>
    </w:rPr>
  </w:style>
  <w:style w:type="character" w:styleId="FollowedHyperlink">
    <w:name w:val="FollowedHyperlink"/>
    <w:basedOn w:val="DefaultParagraphFont"/>
    <w:uiPriority w:val="99"/>
    <w:semiHidden/>
    <w:unhideWhenUsed/>
    <w:qFormat/>
    <w:rPr>
      <w:color w:val="800000"/>
      <w:u w:val="single"/>
    </w:rPr>
  </w:style>
  <w:style w:type="character" w:styleId="Hyperlink1" w:customStyle="1">
    <w:name w:val="Hyperlink1"/>
    <w:basedOn w:val="DefaultParagraphFont"/>
    <w:uiPriority w:val="99"/>
    <w:unhideWhenUsed/>
    <w:qFormat/>
    <w:rPr>
      <w:color w:themeColor="hyperlink" w:val="0563C1"/>
      <w:u w:val="single"/>
      <w14:textFill>
        <w14:solidFill>
          <w14:schemeClr w14:val="hlink"/>
        </w14:solidFill>
      </w14:textFill>
    </w:rPr>
  </w:style>
  <w:style w:type="character" w:styleId="AntetCaracter" w:customStyle="1">
    <w:name w:val="Antet Caracter"/>
    <w:basedOn w:val="DefaultParagraphFont"/>
    <w:link w:val="Header"/>
    <w:uiPriority w:val="99"/>
    <w:qFormat/>
    <w:rPr/>
  </w:style>
  <w:style w:type="character" w:styleId="SubsolCaracter" w:customStyle="1">
    <w:name w:val="Subsol Caracter"/>
    <w:basedOn w:val="DefaultParagraphFont"/>
    <w:link w:val="Footer"/>
    <w:uiPriority w:val="99"/>
    <w:qFormat/>
    <w:rPr/>
  </w:style>
  <w:style w:type="character" w:styleId="Hyperlink">
    <w:name w:val="Hyperlink"/>
    <w:rPr>
      <w:color w:val="000080"/>
      <w:u w:val="single"/>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qFormat/>
    <w:pPr>
      <w:spacing w:lineRule="auto" w:line="276" w:before="0" w:after="140"/>
    </w:pPr>
    <w:rPr/>
  </w:style>
  <w:style w:type="paragraph" w:styleId="List">
    <w:name w:val="List"/>
    <w:basedOn w:val="BodyText"/>
    <w:uiPriority w:val="0"/>
    <w:qForma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uiPriority w:val="0"/>
    <w:qFormat/>
    <w:pPr>
      <w:suppressLineNumbers/>
    </w:pPr>
    <w:rPr>
      <w:rFonts w:cs="Arial"/>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SubsolCaracter"/>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link w:val="AntetCaracter"/>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uiPriority w:val="99"/>
    <w:semiHidden/>
    <w:unhideWhenUsed/>
    <w:qFormat/>
    <w:pPr>
      <w:widowControl w:val="false"/>
      <w:suppressAutoHyphens w:val="true"/>
      <w:bidi w:val="0"/>
      <w:spacing w:beforeAutospacing="1" w:afterAutospacing="0" w:after="0"/>
      <w:ind w:hanging="0" w:left="0" w:right="0"/>
      <w:jc w:val="left"/>
    </w:pPr>
    <w:rPr>
      <w:rFonts w:ascii="Times New Roman" w:hAnsi="Times New Roman" w:eastAsia="SimSun" w:cs="Times New Roman"/>
      <w:color w:val="auto"/>
      <w:kern w:val="0"/>
      <w:sz w:val="24"/>
      <w:szCs w:val="24"/>
      <w:lang w:val="en-US" w:eastAsia="zh-CN" w:bidi="ar-SA"/>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table" w:default="1" w:styleId="12">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LibreOffice/7.6.5.2$Windows_X86_64 LibreOffice_project/38d5f62f85355c192ef5f1dd47c5c0c0c6d6598b</Application>
  <AppVersion>15.0000</AppVersion>
  <Pages>1</Pages>
  <Words>329</Words>
  <Characters>2151</Characters>
  <CharactersWithSpaces>2471</CharactersWithSpaces>
  <Paragraphs>12</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dc:description/>
  <dc:language>en-US</dc:language>
  <cp:lastModifiedBy/>
  <cp:lastPrinted>2025-01-16T09:27:00Z</cp:lastPrinted>
  <dcterms:modified xsi:type="dcterms:W3CDTF">2025-02-03T12:25:14Z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1033-11.2.0.8641</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